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991080">
      <w:pPr>
        <w:spacing w:before="270" w:line="226" w:lineRule="auto"/>
        <w:jc w:val="center"/>
        <w:outlineLvl w:val="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7"/>
          <w:sz w:val="31"/>
          <w:szCs w:val="31"/>
        </w:rPr>
        <w:t>课题指南</w:t>
      </w:r>
    </w:p>
    <w:p w14:paraId="7A3953D1">
      <w:pPr>
        <w:spacing w:before="256" w:line="220" w:lineRule="auto"/>
        <w:ind w:left="66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（一）大气污染治理专项民主监督课题</w:t>
      </w:r>
    </w:p>
    <w:p w14:paraId="1A7D9551">
      <w:pPr>
        <w:pStyle w:val="2"/>
        <w:spacing w:before="268" w:line="380" w:lineRule="auto"/>
        <w:ind w:left="49" w:right="97" w:firstLine="640"/>
        <w:outlineLvl w:val="1"/>
      </w:pPr>
      <w:r>
        <w:rPr>
          <w:b/>
          <w:bCs/>
          <w:spacing w:val="17"/>
        </w:rPr>
        <w:t>1.关中农村冬季清洁取暖方式选择和实际推广难点研</w:t>
      </w:r>
      <w:r>
        <w:rPr>
          <w:b/>
          <w:bCs/>
          <w:spacing w:val="-4"/>
        </w:rPr>
        <w:t>究</w:t>
      </w:r>
    </w:p>
    <w:p w14:paraId="3AE77299">
      <w:pPr>
        <w:pStyle w:val="2"/>
        <w:spacing w:before="1" w:line="380" w:lineRule="auto"/>
        <w:ind w:left="28" w:right="92" w:firstLine="632"/>
        <w:jc w:val="both"/>
      </w:pPr>
      <w:r>
        <w:rPr>
          <w:spacing w:val="9"/>
        </w:rPr>
        <w:t>研究方向：关中农村冬季取暖方式现状，包括目前主要的清洁取暖方式特点以及对大气污染的影响</w:t>
      </w:r>
      <w:r>
        <w:rPr>
          <w:spacing w:val="8"/>
        </w:rPr>
        <w:t>；关中地区目前</w:t>
      </w:r>
      <w:r>
        <w:rPr>
          <w:spacing w:val="9"/>
        </w:rPr>
        <w:t>推行的主要清洁取暖方式成效；关中清洁取</w:t>
      </w:r>
      <w:r>
        <w:rPr>
          <w:spacing w:val="8"/>
        </w:rPr>
        <w:t>暖面临的主要问题；从技术经济性、用户行为视角，开展各类清洁取暖方案</w:t>
      </w:r>
      <w:r>
        <w:rPr>
          <w:spacing w:val="9"/>
        </w:rPr>
        <w:t>费效对比分析和返煤风险分析；提出关中清</w:t>
      </w:r>
      <w:r>
        <w:rPr>
          <w:spacing w:val="8"/>
        </w:rPr>
        <w:t>洁取暖的对策建</w:t>
      </w:r>
      <w:r>
        <w:rPr>
          <w:spacing w:val="-2"/>
        </w:rPr>
        <w:t>议。</w:t>
      </w:r>
    </w:p>
    <w:p w14:paraId="5432849A">
      <w:pPr>
        <w:pStyle w:val="2"/>
        <w:spacing w:before="3" w:line="378" w:lineRule="auto"/>
        <w:ind w:left="28" w:firstLine="653"/>
        <w:outlineLvl w:val="1"/>
      </w:pPr>
      <w:r>
        <w:rPr>
          <w:b/>
          <w:bCs/>
          <w:spacing w:val="2"/>
        </w:rPr>
        <w:t>2.关中地区固定污染源可凝结颗粒物（</w:t>
      </w:r>
      <w:r>
        <w:rPr>
          <w:b/>
          <w:bCs/>
        </w:rPr>
        <w:t>CPM</w:t>
      </w:r>
      <w:r>
        <w:rPr>
          <w:b/>
          <w:bCs/>
          <w:spacing w:val="2"/>
        </w:rPr>
        <w:t>）排</w:t>
      </w:r>
      <w:r>
        <w:rPr>
          <w:b/>
          <w:bCs/>
          <w:spacing w:val="1"/>
        </w:rPr>
        <w:t>放特征、</w:t>
      </w:r>
      <w:r>
        <w:rPr>
          <w:b/>
          <w:bCs/>
          <w:spacing w:val="6"/>
        </w:rPr>
        <w:t>环境影响及治理政策研究</w:t>
      </w:r>
    </w:p>
    <w:p w14:paraId="676CE11D">
      <w:pPr>
        <w:pStyle w:val="2"/>
        <w:spacing w:line="380" w:lineRule="auto"/>
        <w:ind w:left="26" w:right="92" w:firstLine="634"/>
      </w:pPr>
      <w:r>
        <w:rPr>
          <w:spacing w:val="9"/>
        </w:rPr>
        <w:t>研究方向：针对关中地区燃煤电厂、供热锅炉、钢铁、</w:t>
      </w:r>
      <w:r>
        <w:rPr>
          <w:spacing w:val="8"/>
        </w:rPr>
        <w:t>化工等重点行业，科学评估</w:t>
      </w:r>
      <w:r>
        <w:t>CPM</w:t>
      </w:r>
      <w:r>
        <w:rPr>
          <w:spacing w:val="8"/>
        </w:rPr>
        <w:t>在各行业总颗粒物排放中的占比、空间分布及时序变化规律；研究</w:t>
      </w:r>
      <w:r>
        <w:t>CPM</w:t>
      </w:r>
      <w:r>
        <w:rPr>
          <w:spacing w:val="8"/>
        </w:rPr>
        <w:t>排入大气后的物</w:t>
      </w:r>
      <w:r>
        <w:rPr>
          <w:spacing w:val="9"/>
        </w:rPr>
        <w:t>理化学转化过程，特别是其在静稳、高湿等不</w:t>
      </w:r>
      <w:r>
        <w:rPr>
          <w:spacing w:val="8"/>
        </w:rPr>
        <w:t>利气象条件下</w:t>
      </w:r>
      <w:r>
        <w:rPr>
          <w:spacing w:val="9"/>
        </w:rPr>
        <w:t>对二次颗粒物生成及灰霾形成的贡献机制；评</w:t>
      </w:r>
      <w:r>
        <w:rPr>
          <w:spacing w:val="8"/>
        </w:rPr>
        <w:t>估现有治理设</w:t>
      </w:r>
      <w:r>
        <w:rPr>
          <w:spacing w:val="7"/>
        </w:rPr>
        <w:t>施（如脱硫脱硝）对</w:t>
      </w:r>
      <w:r>
        <w:t>CPM</w:t>
      </w:r>
      <w:r>
        <w:rPr>
          <w:spacing w:val="7"/>
        </w:rPr>
        <w:t>的协同脱除效果与潜在负面影响；</w:t>
      </w:r>
      <w:r>
        <w:rPr>
          <w:spacing w:val="8"/>
        </w:rPr>
        <w:t>提出适用于关中地区的管控建议。</w:t>
      </w:r>
    </w:p>
    <w:p w14:paraId="281F280F">
      <w:pPr>
        <w:pStyle w:val="2"/>
        <w:spacing w:before="2" w:line="379" w:lineRule="auto"/>
        <w:ind w:left="56" w:right="97" w:firstLine="638"/>
        <w:outlineLvl w:val="1"/>
      </w:pPr>
      <w:r>
        <w:rPr>
          <w:b/>
          <w:bCs/>
          <w:spacing w:val="17"/>
        </w:rPr>
        <w:t>3.近十年来关中城市群化石燃料使用和空气质量演变</w:t>
      </w:r>
      <w:r>
        <w:rPr>
          <w:b/>
          <w:bCs/>
          <w:spacing w:val="4"/>
        </w:rPr>
        <w:t>的关联机制及优化路径研究</w:t>
      </w:r>
    </w:p>
    <w:p w14:paraId="39A2C0CD">
      <w:pPr>
        <w:pStyle w:val="2"/>
        <w:spacing w:before="167" w:line="380" w:lineRule="auto"/>
        <w:ind w:left="30" w:right="218" w:firstLine="630"/>
        <w:jc w:val="both"/>
      </w:pPr>
      <w:r>
        <w:rPr>
          <w:spacing w:val="9"/>
        </w:rPr>
        <w:t>研究方向：调研关中城市群（西安、咸阳、渭南</w:t>
      </w:r>
      <w:r>
        <w:rPr>
          <w:spacing w:val="8"/>
        </w:rPr>
        <w:t>、宝鸡</w:t>
      </w:r>
      <w:r>
        <w:rPr>
          <w:spacing w:val="9"/>
        </w:rPr>
        <w:t>和铜川）近10年来化石燃料使用情况，以及空气质量演变</w:t>
      </w:r>
      <w:r>
        <w:rPr>
          <w:spacing w:val="8"/>
        </w:rPr>
        <w:t>情况，判定煤、石油和天然气等主要化石能源使用量对空气质量的影响趋势，尤其关注当前减煤空间及制约因素，移动</w:t>
      </w:r>
      <w:r>
        <w:t>源排放贡献及解决方案等，针对关中城市群能源结构短、中、</w:t>
      </w:r>
      <w:r>
        <w:rPr>
          <w:spacing w:val="8"/>
        </w:rPr>
        <w:t>长期调整方案的制定提供政策建议。</w:t>
      </w:r>
    </w:p>
    <w:p w14:paraId="381CFB48">
      <w:pPr>
        <w:pStyle w:val="2"/>
        <w:spacing w:before="4" w:line="379" w:lineRule="auto"/>
        <w:ind w:left="67" w:right="315" w:firstLine="613"/>
        <w:outlineLvl w:val="1"/>
      </w:pPr>
      <w:r>
        <w:rPr>
          <w:b/>
          <w:bCs/>
          <w:spacing w:val="4"/>
        </w:rPr>
        <w:t>4.咸阳市涉气企业环保绩效现状、提升需求及关键制约</w:t>
      </w:r>
      <w:r>
        <w:rPr>
          <w:b/>
          <w:bCs/>
          <w:spacing w:val="-6"/>
        </w:rPr>
        <w:t>因素分析</w:t>
      </w:r>
    </w:p>
    <w:p w14:paraId="410486B5">
      <w:pPr>
        <w:pStyle w:val="2"/>
        <w:spacing w:before="6" w:line="379" w:lineRule="auto"/>
        <w:ind w:left="38" w:right="313" w:firstLine="622"/>
        <w:jc w:val="both"/>
      </w:pPr>
      <w:r>
        <w:rPr>
          <w:spacing w:val="9"/>
        </w:rPr>
        <w:t>研究方向：咸阳市涉气企业现状，包括目前涉气企业分</w:t>
      </w:r>
      <w:r>
        <w:rPr>
          <w:spacing w:val="6"/>
        </w:rPr>
        <w:t>级水平分布，了解企业环保绩效提升意愿、存在的</w:t>
      </w:r>
      <w:r>
        <w:rPr>
          <w:spacing w:val="5"/>
        </w:rPr>
        <w:t>困难和需求；了解企业在升级潜力、整改提升、资金投入等方面的制</w:t>
      </w:r>
      <w:r>
        <w:rPr>
          <w:spacing w:val="8"/>
        </w:rPr>
        <w:t>约因素总体情况，分析咸阳市重点行业企业改造提升的关键</w:t>
      </w:r>
      <w:r>
        <w:rPr>
          <w:spacing w:val="7"/>
        </w:rPr>
        <w:t>制约因素，提出对策建议。</w:t>
      </w:r>
    </w:p>
    <w:p w14:paraId="263654A0">
      <w:pPr>
        <w:spacing w:line="221" w:lineRule="auto"/>
        <w:ind w:left="661"/>
        <w:rPr>
          <w:rFonts w:ascii="KaiTi_GB2312" w:hAnsi="KaiTi_GB2312" w:eastAsia="KaiTi_GB2312" w:cs="KaiTi_GB2312"/>
          <w:sz w:val="31"/>
          <w:szCs w:val="31"/>
        </w:rPr>
      </w:pPr>
      <w:r>
        <w:rPr>
          <w:rFonts w:ascii="KaiTi_GB2312" w:hAnsi="KaiTi_GB2312" w:eastAsia="KaiTi_GB2312" w:cs="KaiTi_GB2312"/>
          <w:spacing w:val="9"/>
          <w:sz w:val="31"/>
          <w:szCs w:val="31"/>
        </w:rPr>
        <w:t>（二）参政议政专项课题</w:t>
      </w:r>
    </w:p>
    <w:p w14:paraId="1E9AB08B">
      <w:pPr>
        <w:pStyle w:val="2"/>
        <w:spacing w:before="267" w:line="380" w:lineRule="auto"/>
        <w:ind w:left="30" w:right="315" w:firstLine="659"/>
        <w:outlineLvl w:val="1"/>
      </w:pPr>
      <w:r>
        <w:rPr>
          <w:b/>
          <w:bCs/>
          <w:spacing w:val="2"/>
        </w:rPr>
        <w:t>1.全面实施“双极带动、多点支撑、三区协同”区域发</w:t>
      </w:r>
      <w:r>
        <w:rPr>
          <w:b/>
          <w:bCs/>
          <w:spacing w:val="4"/>
        </w:rPr>
        <w:t>展战略研究</w:t>
      </w:r>
    </w:p>
    <w:p w14:paraId="0EF1536A">
      <w:pPr>
        <w:pStyle w:val="2"/>
        <w:spacing w:before="8" w:line="379" w:lineRule="auto"/>
        <w:ind w:left="27" w:firstLine="633"/>
      </w:pPr>
      <w:bookmarkStart w:id="0" w:name="_GoBack"/>
      <w:bookmarkEnd w:id="0"/>
      <w:r>
        <w:rPr>
          <w:spacing w:val="9"/>
        </w:rPr>
        <w:t>研究方向：系统研究“双极带动、多点支撑</w:t>
      </w:r>
      <w:r>
        <w:rPr>
          <w:spacing w:val="8"/>
        </w:rPr>
        <w:t>、三区协同”</w:t>
      </w:r>
      <w:r>
        <w:rPr>
          <w:spacing w:val="7"/>
        </w:rPr>
        <w:t>战略的实施路径。重点分析如何发挥西安、榆林“双极”的</w:t>
      </w:r>
      <w:r>
        <w:rPr>
          <w:spacing w:val="4"/>
        </w:rPr>
        <w:t>核心引领和辐射带动作用；如何培育壮大宝鸡、渭南、汉中、延安等区域中心城市形成“多点支撑”格局；深入探讨关中、</w:t>
      </w:r>
      <w:r>
        <w:rPr>
          <w:spacing w:val="8"/>
        </w:rPr>
        <w:t>陕北、陕南三大区域如何发挥比较优势、实现功能互补与协同联动。围绕产业协同布局、基础设施互联互通、公共服务</w:t>
      </w:r>
    </w:p>
    <w:p w14:paraId="4C795C80">
      <w:pPr>
        <w:spacing w:line="379" w:lineRule="auto"/>
        <w:sectPr>
          <w:footerReference r:id="rId5" w:type="default"/>
          <w:pgSz w:w="11906" w:h="16839"/>
          <w:pgMar w:top="1431" w:right="1488" w:bottom="1129" w:left="1785" w:header="0" w:footer="871" w:gutter="0"/>
          <w:cols w:space="720" w:num="1"/>
        </w:sectPr>
      </w:pPr>
    </w:p>
    <w:p w14:paraId="036E3436">
      <w:pPr>
        <w:pStyle w:val="2"/>
        <w:spacing w:before="172" w:line="379" w:lineRule="auto"/>
        <w:ind w:left="28" w:right="21" w:firstLine="5"/>
      </w:pPr>
      <w:r>
        <w:rPr>
          <w:spacing w:val="8"/>
        </w:rPr>
        <w:t>均等化、要素市场化配置、生态环境共保联治等方面，提出</w:t>
      </w:r>
      <w:r>
        <w:rPr>
          <w:spacing w:val="9"/>
        </w:rPr>
        <w:t>构建优势互补、高质量发展的区域经济布局的政策建议。</w:t>
      </w:r>
    </w:p>
    <w:p w14:paraId="00C6AE57">
      <w:pPr>
        <w:pStyle w:val="2"/>
        <w:spacing w:line="219" w:lineRule="auto"/>
        <w:ind w:left="682"/>
        <w:outlineLvl w:val="1"/>
      </w:pPr>
      <w:r>
        <w:rPr>
          <w:b/>
          <w:bCs/>
          <w:spacing w:val="5"/>
        </w:rPr>
        <w:t>2.陕西推进零碳园区建设路径研究</w:t>
      </w:r>
    </w:p>
    <w:p w14:paraId="26BA3FE3">
      <w:pPr>
        <w:pStyle w:val="2"/>
        <w:spacing w:before="266" w:line="380" w:lineRule="auto"/>
        <w:ind w:left="22" w:right="16" w:firstLine="638"/>
        <w:jc w:val="both"/>
      </w:pPr>
      <w:r>
        <w:rPr>
          <w:spacing w:val="9"/>
        </w:rPr>
        <w:t>研究方向：聚焦国家“双碳”战略目标，结合陕西能源结构和产业特点，研究我省零碳园区建设的现状、模</w:t>
      </w:r>
      <w:r>
        <w:rPr>
          <w:spacing w:val="8"/>
        </w:rPr>
        <w:t>式及主</w:t>
      </w:r>
      <w:r>
        <w:rPr>
          <w:spacing w:val="9"/>
        </w:rPr>
        <w:t>要瓶颈。重点分析园区能源供给端（如风光储一</w:t>
      </w:r>
      <w:r>
        <w:rPr>
          <w:spacing w:val="8"/>
        </w:rPr>
        <w:t>体化、绿电</w:t>
      </w:r>
      <w:r>
        <w:rPr>
          <w:spacing w:val="9"/>
        </w:rPr>
        <w:t>交易、源网荷储协同）和消费端（如工业节能降碳、建筑零碳化、交通电动化）的技术路线和经济可行性。探索</w:t>
      </w:r>
      <w:r>
        <w:rPr>
          <w:spacing w:val="8"/>
        </w:rPr>
        <w:t>适合陕</w:t>
      </w:r>
      <w:r>
        <w:rPr>
          <w:spacing w:val="9"/>
        </w:rPr>
        <w:t>西不同类型园区（如能源化工、装备制造、高新技术</w:t>
      </w:r>
      <w:r>
        <w:rPr>
          <w:spacing w:val="8"/>
        </w:rPr>
        <w:t>等）的</w:t>
      </w:r>
      <w:r>
        <w:rPr>
          <w:spacing w:val="9"/>
        </w:rPr>
        <w:t>零碳改造路径，提出完善碳排放核算体系、发展碳金</w:t>
      </w:r>
      <w:r>
        <w:rPr>
          <w:spacing w:val="8"/>
        </w:rPr>
        <w:t>融、创新管理机制等方面的政策建议。</w:t>
      </w:r>
    </w:p>
    <w:p w14:paraId="0A9AA353">
      <w:pPr>
        <w:pStyle w:val="2"/>
        <w:spacing w:line="220" w:lineRule="auto"/>
        <w:ind w:left="694"/>
        <w:outlineLvl w:val="1"/>
      </w:pPr>
      <w:r>
        <w:rPr>
          <w:b/>
          <w:bCs/>
          <w:spacing w:val="5"/>
        </w:rPr>
        <w:t>3.加快西安区域科技创新中心建设研究</w:t>
      </w:r>
    </w:p>
    <w:p w14:paraId="2EFF57AA">
      <w:pPr>
        <w:pStyle w:val="2"/>
        <w:spacing w:before="270" w:line="380" w:lineRule="auto"/>
        <w:ind w:left="32" w:right="16" w:firstLine="628"/>
      </w:pPr>
      <w:r>
        <w:rPr>
          <w:spacing w:val="9"/>
        </w:rPr>
        <w:t>研究方向：围绕西安建设综合性国家科学中心和</w:t>
      </w:r>
      <w:r>
        <w:rPr>
          <w:spacing w:val="8"/>
        </w:rPr>
        <w:t>区域科技创新中心的战略定位，研究提升西安科技创新策源能力的路径与对策。重点分析如何高效整合在陕高校、科研院所、国家实验室、大科学装置等创新资源，构建高水平科技创新平台体系。研究如何打通科技成果从实验室到产业端的“最后一公里”，探索在科技成果转化、科技金融、人才引进、开放合作等方面的体制机制改革与政策突破，打造科技创新</w:t>
      </w:r>
      <w:r>
        <w:rPr>
          <w:spacing w:val="6"/>
        </w:rPr>
        <w:t>“生态雨林”。</w:t>
      </w:r>
    </w:p>
    <w:p w14:paraId="46B36D5B">
      <w:pPr>
        <w:pStyle w:val="2"/>
        <w:spacing w:before="2" w:line="218" w:lineRule="auto"/>
        <w:ind w:right="18"/>
        <w:jc w:val="right"/>
        <w:outlineLvl w:val="1"/>
      </w:pPr>
      <w:r>
        <w:rPr>
          <w:b/>
          <w:bCs/>
          <w:spacing w:val="2"/>
        </w:rPr>
        <w:t>4.陕西高层次科技人才“引育用留”生态系统构建研究</w:t>
      </w:r>
    </w:p>
    <w:p w14:paraId="58F1226E">
      <w:pPr>
        <w:pStyle w:val="2"/>
        <w:spacing w:before="266" w:line="380" w:lineRule="auto"/>
        <w:ind w:left="22" w:right="16" w:firstLine="638"/>
        <w:jc w:val="both"/>
        <w:rPr>
          <w:spacing w:val="9"/>
        </w:rPr>
      </w:pPr>
      <w:r>
        <w:rPr>
          <w:spacing w:val="9"/>
        </w:rPr>
        <w:t>研究方向：聚焦陕西高质量发展对高层次科技人才的迫切需求，全面诊断我省在人才引进、培养、使用、留住全链条中存在的短板和堵点。重点分析人才引进的精准性、人才与产业需求的匹配度、科研经费管理、成果转化权益分配、人才评价体系、以及生活服务保障（住房、子女教育、医疗）等关键环节。提出构建全方位、全周期、有竞争力的高层次科技人才生态系统，形成以“用”为导向的人才集聚效应，为打造西部人才高地提供决策参考。</w:t>
      </w:r>
    </w:p>
    <w:p w14:paraId="7E7B3CDF">
      <w:pPr>
        <w:pStyle w:val="2"/>
        <w:spacing w:before="4" w:line="378" w:lineRule="auto"/>
        <w:ind w:left="40" w:right="158" w:firstLine="645"/>
        <w:outlineLvl w:val="1"/>
      </w:pPr>
      <w:r>
        <w:rPr>
          <w:b/>
          <w:bCs/>
          <w:spacing w:val="4"/>
        </w:rPr>
        <w:t>5.陕西民营企业培育新质生产力的路径、堵点与政策优</w:t>
      </w:r>
      <w:r>
        <w:rPr>
          <w:b/>
          <w:bCs/>
          <w:spacing w:val="-1"/>
        </w:rPr>
        <w:t>化研究</w:t>
      </w:r>
    </w:p>
    <w:p w14:paraId="49F2046E">
      <w:pPr>
        <w:pStyle w:val="2"/>
        <w:spacing w:before="12" w:line="379" w:lineRule="auto"/>
        <w:ind w:left="26" w:right="153" w:firstLine="634"/>
        <w:jc w:val="both"/>
      </w:pPr>
      <w:r>
        <w:rPr>
          <w:spacing w:val="9"/>
        </w:rPr>
        <w:t>研究方向：立足陕西民营经济发展实际，研究民营企业如何抓住新一轮科技革命和产业变革机遇，成</w:t>
      </w:r>
      <w:r>
        <w:rPr>
          <w:spacing w:val="8"/>
        </w:rPr>
        <w:t>为培育新质生</w:t>
      </w:r>
      <w:r>
        <w:rPr>
          <w:spacing w:val="21"/>
        </w:rPr>
        <w:t>产力的重要力量。重点分析我省民营企业在战略性新兴产业、未来产业以及传统产业转型升级中遇到的创新技术瓶</w:t>
      </w:r>
      <w:r>
        <w:rPr>
          <w:spacing w:val="9"/>
        </w:rPr>
        <w:t>颈、资金短缺、市场准入限制、知识产权保护不足</w:t>
      </w:r>
      <w:r>
        <w:rPr>
          <w:spacing w:val="8"/>
        </w:rPr>
        <w:t>、要素获</w:t>
      </w:r>
      <w:r>
        <w:rPr>
          <w:spacing w:val="9"/>
        </w:rPr>
        <w:t>取难等堵点问题。提出优化营商环境、强化创</w:t>
      </w:r>
      <w:r>
        <w:rPr>
          <w:spacing w:val="8"/>
        </w:rPr>
        <w:t>新支持、拓宽</w:t>
      </w:r>
      <w:r>
        <w:rPr>
          <w:spacing w:val="9"/>
        </w:rPr>
        <w:t>融资渠道、降低要素成本、完善产权保护等</w:t>
      </w:r>
      <w:r>
        <w:rPr>
          <w:spacing w:val="8"/>
        </w:rPr>
        <w:t>一系列政策优化</w:t>
      </w:r>
      <w:r>
        <w:rPr>
          <w:spacing w:val="3"/>
        </w:rPr>
        <w:t>建议，引导民营企业向“新”求“质”，实现高质量发展。</w:t>
      </w:r>
    </w:p>
    <w:p w14:paraId="6F413132">
      <w:pPr>
        <w:pStyle w:val="2"/>
        <w:spacing w:before="3" w:line="380" w:lineRule="auto"/>
        <w:ind w:left="47" w:right="211" w:firstLine="625"/>
      </w:pPr>
      <w:r>
        <w:rPr>
          <w:spacing w:val="6"/>
        </w:rPr>
        <w:t>项目申报人在所列示的项目指南中选择题目进行申报，</w:t>
      </w:r>
      <w:r>
        <w:rPr>
          <w:spacing w:val="7"/>
        </w:rPr>
        <w:t>必须紧密围绕研究主题，可以细化自拟题目。</w:t>
      </w:r>
    </w:p>
    <w:p w14:paraId="77751DC6"/>
    <w:sectPr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KaiTi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2C72FF">
    <w:pPr>
      <w:spacing w:before="1" w:line="173" w:lineRule="auto"/>
      <w:ind w:left="7563"/>
      <w:rPr>
        <w:rFonts w:ascii="Calibri" w:hAnsi="Calibri" w:eastAsia="Calibri" w:cs="Calibri"/>
        <w:sz w:val="28"/>
        <w:szCs w:val="28"/>
      </w:rPr>
    </w:pPr>
    <w:r>
      <w:rPr>
        <w:rFonts w:ascii="Calibri" w:hAnsi="Calibri" w:eastAsia="Calibri" w:cs="Calibri"/>
        <w:spacing w:val="-12"/>
        <w:sz w:val="28"/>
        <w:szCs w:val="28"/>
      </w:rPr>
      <w:t>—3—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2C026E">
    <w:pPr>
      <w:spacing w:line="172" w:lineRule="auto"/>
      <w:ind w:left="37"/>
      <w:rPr>
        <w:rFonts w:ascii="Calibri" w:hAnsi="Calibri" w:eastAsia="Calibri" w:cs="Calibri"/>
        <w:sz w:val="28"/>
        <w:szCs w:val="28"/>
      </w:rPr>
    </w:pPr>
    <w:r>
      <w:rPr>
        <w:rFonts w:ascii="Calibri" w:hAnsi="Calibri" w:eastAsia="Calibri" w:cs="Calibri"/>
        <w:spacing w:val="-9"/>
        <w:sz w:val="28"/>
        <w:szCs w:val="28"/>
      </w:rPr>
      <w:t>—4—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1053E"/>
    <w:rsid w:val="34763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2026-09-24T09:20:22Z</dcterms:created>
  <dc:creator>DELL</dc:creator>
  <cp:lastModifiedBy>郭执玺</cp:lastModifiedBy>
  <dcterms:modified xsi:type="dcterms:W3CDTF">2026-09-24T09:21:32Z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eyJoZGlkIjoiODc3OWQ0ZDgzNmQ0ODE2MDU2ODEwOTg1MmIwMTczZDMiLCJ1c2VySWQiOiIzNTQ3NjgzMjMifQ==</vt:lpwstr>
  </property>
  <property fmtid="{D5CDD505-2E9C-101B-9397-08002B2CF9AE}" pid="4" name="ICV">
    <vt:lpwstr>6BB346FED52A43D3A5EE2069AFB1A915_12</vt:lpwstr>
  </property>
</Properties>
</file>